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Merriweather Sans" w:cs="Merriweather Sans" w:eastAsia="Merriweather Sans" w:hAnsi="Merriweather Sans"/>
          <w:color w:val="250c4f"/>
          <w:sz w:val="52"/>
          <w:szCs w:val="52"/>
        </w:rPr>
      </w:pPr>
      <w:r w:rsidDel="00000000" w:rsidR="00000000" w:rsidRPr="00000000">
        <w:rPr>
          <w:color w:val="1c1c1c"/>
        </w:rPr>
        <w:drawing>
          <wp:inline distB="0" distT="0" distL="0" distR="0">
            <wp:extent cx="1800000" cy="771429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714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mallCaps w:val="1"/>
          <w:color w:val="452c78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mallCaps w:val="1"/>
          <w:color w:val="452c78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mallCaps w:val="1"/>
          <w:color w:val="452c78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mallCaps w:val="1"/>
          <w:color w:val="452c78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mallCaps w:val="1"/>
          <w:color w:val="452c78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mallCaps w:val="1"/>
          <w:color w:val="452c78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mallCaps w:val="1"/>
          <w:color w:val="452c78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smallCaps w:val="1"/>
          <w:color w:val="452c78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left"/>
        <w:rPr>
          <w:b w:val="1"/>
          <w:smallCaps w:val="1"/>
          <w:color w:val="2c8cfb"/>
          <w:sz w:val="56"/>
          <w:szCs w:val="56"/>
        </w:rPr>
      </w:pPr>
      <w:r w:rsidDel="00000000" w:rsidR="00000000" w:rsidRPr="00000000">
        <w:rPr>
          <w:b w:val="1"/>
          <w:smallCaps w:val="1"/>
          <w:color w:val="2c8cfb"/>
          <w:sz w:val="56"/>
          <w:szCs w:val="56"/>
          <w:rtl w:val="0"/>
        </w:rPr>
        <w:t xml:space="preserve">Réglement sur le remboursements des frais de garde</w:t>
      </w:r>
    </w:p>
    <w:p w:rsidR="00000000" w:rsidDel="00000000" w:rsidP="00000000" w:rsidRDefault="00000000" w:rsidRPr="00000000" w14:paraId="0000000B">
      <w:pPr>
        <w:spacing w:after="0" w:line="360" w:lineRule="auto"/>
        <w:jc w:val="left"/>
        <w:rPr>
          <w:color w:val="2c8cfb"/>
        </w:rPr>
      </w:pPr>
      <w:r w:rsidDel="00000000" w:rsidR="00000000" w:rsidRPr="00000000">
        <w:rPr>
          <w:b w:val="1"/>
          <w:color w:val="2c8cfb"/>
          <w:sz w:val="48"/>
          <w:szCs w:val="48"/>
          <w:u w:val="single"/>
          <w:rtl w:val="0"/>
        </w:rPr>
        <w:t xml:space="preserve">[95-02]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3820"/>
        <w:jc w:val="left"/>
        <w:rPr>
          <w:b w:val="1"/>
          <w:smallCaps w:val="1"/>
          <w:color w:val="2e80b2"/>
        </w:rPr>
      </w:pPr>
      <w:r w:rsidDel="00000000" w:rsidR="00000000" w:rsidRPr="00000000">
        <w:rPr>
          <w:b w:val="1"/>
          <w:smallCaps w:val="1"/>
          <w:color w:val="2e80b2"/>
          <w:rtl w:val="0"/>
        </w:rPr>
        <w:t xml:space="preserve">Association générale des étudiantes et étudiants de la Faculté de l’éducation permanente</w:t>
      </w:r>
    </w:p>
    <w:p w:rsidR="00000000" w:rsidDel="00000000" w:rsidP="00000000" w:rsidRDefault="00000000" w:rsidRPr="00000000" w14:paraId="00000013">
      <w:pPr>
        <w:spacing w:after="0" w:line="240" w:lineRule="auto"/>
        <w:ind w:right="3820"/>
        <w:jc w:val="left"/>
        <w:rPr>
          <w:b w:val="1"/>
          <w:smallCaps w:val="1"/>
          <w:color w:val="2e80b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b w:val="1"/>
          <w:smallCaps w:val="1"/>
          <w:color w:val="2e80b2"/>
        </w:rPr>
      </w:pPr>
      <w:r w:rsidDel="00000000" w:rsidR="00000000" w:rsidRPr="00000000">
        <w:rPr>
          <w:color w:val="1c1c1c"/>
          <w:rtl w:val="0"/>
        </w:rPr>
        <w:t xml:space="preserve">Adopté  au 6</w:t>
      </w:r>
      <w:r w:rsidDel="00000000" w:rsidR="00000000" w:rsidRPr="00000000">
        <w:rPr>
          <w:color w:val="1c1c1c"/>
          <w:vertAlign w:val="superscript"/>
          <w:rtl w:val="0"/>
        </w:rPr>
        <w:t xml:space="preserve">e</w:t>
      </w:r>
      <w:r w:rsidDel="00000000" w:rsidR="00000000" w:rsidRPr="00000000">
        <w:rPr>
          <w:color w:val="1c1c1c"/>
          <w:rtl w:val="0"/>
        </w:rPr>
        <w:t xml:space="preserve"> congrès biennal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/>
      </w:pPr>
      <w:r w:rsidDel="00000000" w:rsidR="00000000" w:rsidRPr="00000000">
        <w:rPr>
          <w:color w:val="1c1c1c"/>
          <w:rtl w:val="0"/>
        </w:rPr>
        <w:t xml:space="preserve">Le 18 novembre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left"/>
        <w:rPr>
          <w:color w:val="1c1c1c"/>
        </w:rPr>
      </w:pPr>
      <w:r w:rsidDel="00000000" w:rsidR="00000000" w:rsidRPr="00000000">
        <w:rPr>
          <w:i w:val="1"/>
          <w:color w:val="1c1c1c"/>
          <w:sz w:val="18"/>
          <w:szCs w:val="18"/>
          <w:rtl w:val="0"/>
        </w:rPr>
        <w:t xml:space="preserve">Application</w:t>
        <w:tab/>
        <w:tab/>
      </w:r>
      <w:r w:rsidDel="00000000" w:rsidR="00000000" w:rsidRPr="00000000">
        <w:rPr>
          <w:i w:val="1"/>
          <w:color w:val="1c1c1c"/>
          <w:sz w:val="18"/>
          <w:szCs w:val="18"/>
          <w:rtl w:val="0"/>
        </w:rPr>
        <w:t xml:space="preserve"> </w:t>
        <w:tab/>
      </w:r>
      <w:r w:rsidDel="00000000" w:rsidR="00000000" w:rsidRPr="00000000">
        <w:rPr>
          <w:color w:val="1c1c1c"/>
          <w:rtl w:val="0"/>
        </w:rPr>
        <w:t xml:space="preserve">1.</w:t>
      </w:r>
      <w:r w:rsidDel="00000000" w:rsidR="00000000" w:rsidRPr="00000000">
        <w:rPr>
          <w:color w:val="1c1c1c"/>
          <w:rtl w:val="0"/>
        </w:rPr>
        <w:t xml:space="preserve"> Toute personne élue ou militante qui assiste, à la charge de </w:t>
      </w:r>
    </w:p>
    <w:p w:rsidR="00000000" w:rsidDel="00000000" w:rsidP="00000000" w:rsidRDefault="00000000" w:rsidRPr="00000000" w14:paraId="00000019">
      <w:pPr>
        <w:spacing w:after="0" w:line="360" w:lineRule="auto"/>
        <w:ind w:left="2160" w:firstLine="72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l’AGEEFEP, aux réunions des instances, aux comité, aux réunions </w:t>
      </w:r>
    </w:p>
    <w:p w:rsidR="00000000" w:rsidDel="00000000" w:rsidP="00000000" w:rsidRDefault="00000000" w:rsidRPr="00000000" w14:paraId="0000001A">
      <w:pPr>
        <w:spacing w:after="0" w:line="360" w:lineRule="auto"/>
        <w:ind w:left="2160" w:firstLine="72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d’équipe, en dehors de ses heures régulières de travail, à droit au </w:t>
      </w:r>
    </w:p>
    <w:p w:rsidR="00000000" w:rsidDel="00000000" w:rsidP="00000000" w:rsidRDefault="00000000" w:rsidRPr="00000000" w14:paraId="0000001B">
      <w:pPr>
        <w:spacing w:after="0" w:line="360" w:lineRule="auto"/>
        <w:ind w:left="2160" w:firstLine="720"/>
        <w:jc w:val="left"/>
        <w:rPr>
          <w:color w:val="1c1c1c"/>
          <w:sz w:val="22"/>
          <w:szCs w:val="22"/>
        </w:rPr>
      </w:pPr>
      <w:r w:rsidDel="00000000" w:rsidR="00000000" w:rsidRPr="00000000">
        <w:rPr>
          <w:color w:val="1c1c1c"/>
          <w:rtl w:val="0"/>
        </w:rPr>
        <w:t xml:space="preserve">remboursement, par l’AGEEFEP, des frais de garde encourus.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left="2160" w:firstLine="72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left"/>
        <w:rPr>
          <w:color w:val="1c1c1c"/>
        </w:rPr>
      </w:pPr>
      <w:r w:rsidDel="00000000" w:rsidR="00000000" w:rsidRPr="00000000">
        <w:rPr>
          <w:i w:val="1"/>
          <w:color w:val="1c1c1c"/>
          <w:sz w:val="18"/>
          <w:szCs w:val="18"/>
          <w:rtl w:val="0"/>
        </w:rPr>
        <w:t xml:space="preserve">Montants admissibles</w:t>
        <w:tab/>
        <w:tab/>
      </w:r>
      <w:r w:rsidDel="00000000" w:rsidR="00000000" w:rsidRPr="00000000">
        <w:rPr>
          <w:color w:val="1c1c1c"/>
          <w:rtl w:val="0"/>
        </w:rPr>
        <w:t xml:space="preserve">2. Ces frais sont remboursables, sur présentation de pièces </w:t>
      </w:r>
    </w:p>
    <w:p w:rsidR="00000000" w:rsidDel="00000000" w:rsidP="00000000" w:rsidRDefault="00000000" w:rsidRPr="00000000" w14:paraId="0000001E">
      <w:pPr>
        <w:spacing w:after="0" w:line="360" w:lineRule="auto"/>
        <w:ind w:left="2160" w:firstLine="72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justificatives, jusqu’à concurrence d’un montant maximum de:</w:t>
      </w:r>
    </w:p>
    <w:p w:rsidR="00000000" w:rsidDel="00000000" w:rsidP="00000000" w:rsidRDefault="00000000" w:rsidRPr="00000000" w14:paraId="0000001F">
      <w:pPr>
        <w:spacing w:after="0" w:line="360" w:lineRule="auto"/>
        <w:ind w:left="2160" w:firstLine="72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360" w:lineRule="auto"/>
        <w:ind w:left="3600" w:hanging="36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pour un enfant 55$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360" w:lineRule="auto"/>
        <w:ind w:left="3600" w:hanging="36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pour deux enfants 80$: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360" w:lineRule="auto"/>
        <w:ind w:left="3600" w:hanging="36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pour trois enfants et + 105$</w:t>
      </w:r>
    </w:p>
    <w:p w:rsidR="00000000" w:rsidDel="00000000" w:rsidP="00000000" w:rsidRDefault="00000000" w:rsidRPr="00000000" w14:paraId="00000023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left"/>
        <w:rPr>
          <w:color w:val="1c1c1c"/>
        </w:rPr>
      </w:pPr>
      <w:r w:rsidDel="00000000" w:rsidR="00000000" w:rsidRPr="00000000">
        <w:rPr>
          <w:i w:val="1"/>
          <w:color w:val="1c1c1c"/>
          <w:sz w:val="18"/>
          <w:szCs w:val="18"/>
          <w:rtl w:val="0"/>
        </w:rPr>
        <w:t xml:space="preserve">Périodes visées</w:t>
        <w:tab/>
        <w:tab/>
        <w:tab/>
      </w:r>
      <w:r w:rsidDel="00000000" w:rsidR="00000000" w:rsidRPr="00000000">
        <w:rPr>
          <w:color w:val="1c1c1c"/>
          <w:rtl w:val="0"/>
        </w:rPr>
        <w:t xml:space="preserve">3.Ces montants s’appliquent pour une journée de quatres périodes et </w:t>
      </w:r>
    </w:p>
    <w:p w:rsidR="00000000" w:rsidDel="00000000" w:rsidP="00000000" w:rsidRDefault="00000000" w:rsidRPr="00000000" w14:paraId="00000025">
      <w:pPr>
        <w:spacing w:after="0" w:line="360" w:lineRule="auto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ab/>
        <w:tab/>
        <w:tab/>
        <w:tab/>
        <w:t xml:space="preserve">sont répartis comme suit:</w:t>
      </w:r>
    </w:p>
    <w:p w:rsidR="00000000" w:rsidDel="00000000" w:rsidP="00000000" w:rsidRDefault="00000000" w:rsidRPr="00000000" w14:paraId="00000026">
      <w:pPr>
        <w:spacing w:after="0" w:line="360" w:lineRule="auto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360" w:lineRule="auto"/>
        <w:ind w:left="3600" w:hanging="360"/>
        <w:jc w:val="left"/>
        <w:rPr>
          <w:color w:val="1c1c1c"/>
          <w:u w:val="none"/>
        </w:rPr>
      </w:pPr>
      <w:r w:rsidDel="00000000" w:rsidR="00000000" w:rsidRPr="00000000">
        <w:rPr>
          <w:color w:val="1c1c1c"/>
          <w:rtl w:val="0"/>
        </w:rPr>
        <w:t xml:space="preserve">Avant midi</w:t>
      </w:r>
    </w:p>
    <w:p w:rsidR="00000000" w:rsidDel="00000000" w:rsidP="00000000" w:rsidRDefault="00000000" w:rsidRPr="00000000" w14:paraId="00000028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Un enfant 10$</w:t>
      </w:r>
    </w:p>
    <w:p w:rsidR="00000000" w:rsidDel="00000000" w:rsidP="00000000" w:rsidRDefault="00000000" w:rsidRPr="00000000" w14:paraId="00000029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Deux enfants 15$</w:t>
      </w:r>
    </w:p>
    <w:p w:rsidR="00000000" w:rsidDel="00000000" w:rsidP="00000000" w:rsidRDefault="00000000" w:rsidRPr="00000000" w14:paraId="0000002A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Trois enfants et plus 20$</w:t>
      </w:r>
    </w:p>
    <w:p w:rsidR="00000000" w:rsidDel="00000000" w:rsidP="00000000" w:rsidRDefault="00000000" w:rsidRPr="00000000" w14:paraId="0000002B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left="288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     b)</w:t>
        <w:tab/>
        <w:t xml:space="preserve">Après midi</w:t>
      </w:r>
    </w:p>
    <w:p w:rsidR="00000000" w:rsidDel="00000000" w:rsidP="00000000" w:rsidRDefault="00000000" w:rsidRPr="00000000" w14:paraId="0000002D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Un enfant 10$</w:t>
      </w:r>
    </w:p>
    <w:p w:rsidR="00000000" w:rsidDel="00000000" w:rsidP="00000000" w:rsidRDefault="00000000" w:rsidRPr="00000000" w14:paraId="0000002E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Deux enfants 15$</w:t>
      </w:r>
    </w:p>
    <w:p w:rsidR="00000000" w:rsidDel="00000000" w:rsidP="00000000" w:rsidRDefault="00000000" w:rsidRPr="00000000" w14:paraId="0000002F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Trois enfants et plus 20$</w:t>
      </w:r>
    </w:p>
    <w:p w:rsidR="00000000" w:rsidDel="00000000" w:rsidP="00000000" w:rsidRDefault="00000000" w:rsidRPr="00000000" w14:paraId="00000030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ind w:left="288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     c)     Soirée (après 19h)</w:t>
      </w:r>
    </w:p>
    <w:p w:rsidR="00000000" w:rsidDel="00000000" w:rsidP="00000000" w:rsidRDefault="00000000" w:rsidRPr="00000000" w14:paraId="00000032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Un enfant 10$</w:t>
      </w:r>
    </w:p>
    <w:p w:rsidR="00000000" w:rsidDel="00000000" w:rsidP="00000000" w:rsidRDefault="00000000" w:rsidRPr="00000000" w14:paraId="00000033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Deux enfants 15$</w:t>
      </w:r>
    </w:p>
    <w:p w:rsidR="00000000" w:rsidDel="00000000" w:rsidP="00000000" w:rsidRDefault="00000000" w:rsidRPr="00000000" w14:paraId="00000034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Trois enfants et plus 25$</w:t>
      </w:r>
    </w:p>
    <w:p w:rsidR="00000000" w:rsidDel="00000000" w:rsidP="00000000" w:rsidRDefault="00000000" w:rsidRPr="00000000" w14:paraId="00000035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left="288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     d)     Nuit</w:t>
      </w:r>
    </w:p>
    <w:p w:rsidR="00000000" w:rsidDel="00000000" w:rsidP="00000000" w:rsidRDefault="00000000" w:rsidRPr="00000000" w14:paraId="00000037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Un enfant 20$</w:t>
      </w:r>
    </w:p>
    <w:p w:rsidR="00000000" w:rsidDel="00000000" w:rsidP="00000000" w:rsidRDefault="00000000" w:rsidRPr="00000000" w14:paraId="00000038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Deux enfants 30$</w:t>
      </w:r>
    </w:p>
    <w:p w:rsidR="00000000" w:rsidDel="00000000" w:rsidP="00000000" w:rsidRDefault="00000000" w:rsidRPr="00000000" w14:paraId="00000039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Trois enfants et plus 40$</w:t>
      </w:r>
    </w:p>
    <w:p w:rsidR="00000000" w:rsidDel="00000000" w:rsidP="00000000" w:rsidRDefault="00000000" w:rsidRPr="00000000" w14:paraId="0000003A">
      <w:pPr>
        <w:spacing w:after="0" w:line="360" w:lineRule="auto"/>
        <w:ind w:left="3600" w:firstLine="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ind w:left="0" w:firstLine="0"/>
        <w:jc w:val="left"/>
        <w:rPr>
          <w:color w:val="1c1c1c"/>
        </w:rPr>
      </w:pPr>
      <w:r w:rsidDel="00000000" w:rsidR="00000000" w:rsidRPr="00000000">
        <w:rPr>
          <w:i w:val="1"/>
          <w:color w:val="1c1c1c"/>
          <w:sz w:val="18"/>
          <w:szCs w:val="18"/>
          <w:rtl w:val="0"/>
        </w:rPr>
        <w:t xml:space="preserve">Parents admissibles</w:t>
        <w:tab/>
        <w:tab/>
      </w:r>
      <w:r w:rsidDel="00000000" w:rsidR="00000000" w:rsidRPr="00000000">
        <w:rPr>
          <w:color w:val="1c1c1c"/>
          <w:rtl w:val="0"/>
        </w:rPr>
        <w:t xml:space="preserve">4.Les frais de garde ne s’appliquent qu’à un seul des deux parents </w:t>
      </w:r>
    </w:p>
    <w:p w:rsidR="00000000" w:rsidDel="00000000" w:rsidP="00000000" w:rsidRDefault="00000000" w:rsidRPr="00000000" w14:paraId="0000003C">
      <w:pPr>
        <w:spacing w:after="0" w:line="360" w:lineRule="auto"/>
        <w:ind w:left="2160" w:firstLine="72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ou conjoints lorsque les deux militent pour l’AGEEFEP aux mêmes </w:t>
      </w:r>
    </w:p>
    <w:p w:rsidR="00000000" w:rsidDel="00000000" w:rsidP="00000000" w:rsidRDefault="00000000" w:rsidRPr="00000000" w14:paraId="0000003D">
      <w:pPr>
        <w:spacing w:after="0" w:line="360" w:lineRule="auto"/>
        <w:ind w:left="2160" w:firstLine="72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périodes et ne doivent pas servir de rémunération pour la personne </w:t>
      </w:r>
    </w:p>
    <w:p w:rsidR="00000000" w:rsidDel="00000000" w:rsidP="00000000" w:rsidRDefault="00000000" w:rsidRPr="00000000" w14:paraId="0000003E">
      <w:pPr>
        <w:spacing w:after="0" w:line="360" w:lineRule="auto"/>
        <w:ind w:left="2160" w:firstLine="720"/>
        <w:jc w:val="left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parente ou conjointe.</w:t>
      </w:r>
    </w:p>
    <w:p w:rsidR="00000000" w:rsidDel="00000000" w:rsidP="00000000" w:rsidRDefault="00000000" w:rsidRPr="00000000" w14:paraId="0000003F">
      <w:pPr>
        <w:spacing w:after="0" w:line="360" w:lineRule="auto"/>
        <w:ind w:left="2160" w:firstLine="72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ind w:left="0" w:firstLine="0"/>
        <w:rPr>
          <w:color w:val="1c1c1c"/>
        </w:rPr>
      </w:pPr>
      <w:r w:rsidDel="00000000" w:rsidR="00000000" w:rsidRPr="00000000">
        <w:rPr>
          <w:i w:val="1"/>
          <w:color w:val="1c1c1c"/>
          <w:sz w:val="18"/>
          <w:szCs w:val="18"/>
          <w:rtl w:val="0"/>
        </w:rPr>
        <w:t xml:space="preserve">Entrée en vigueur</w:t>
      </w:r>
      <w:r w:rsidDel="00000000" w:rsidR="00000000" w:rsidRPr="00000000">
        <w:rPr>
          <w:color w:val="1c1c1c"/>
          <w:rtl w:val="0"/>
        </w:rPr>
        <w:tab/>
        <w:tab/>
        <w:tab/>
        <w:t xml:space="preserve">5.Ce Règlement entre en vigueur dès son adoption par le Conseil de </w:t>
      </w:r>
    </w:p>
    <w:p w:rsidR="00000000" w:rsidDel="00000000" w:rsidP="00000000" w:rsidRDefault="00000000" w:rsidRPr="00000000" w14:paraId="00000041">
      <w:pPr>
        <w:spacing w:after="0" w:line="360" w:lineRule="auto"/>
        <w:ind w:left="2160" w:firstLine="720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direction de l’AGEEFEP et sera soumis au Congrès biennal </w:t>
      </w:r>
    </w:p>
    <w:p w:rsidR="00000000" w:rsidDel="00000000" w:rsidP="00000000" w:rsidRDefault="00000000" w:rsidRPr="00000000" w14:paraId="00000042">
      <w:pPr>
        <w:spacing w:after="0" w:line="360" w:lineRule="auto"/>
        <w:ind w:left="2160" w:firstLine="720"/>
        <w:rPr>
          <w:color w:val="1c1c1c"/>
        </w:rPr>
      </w:pPr>
      <w:r w:rsidDel="00000000" w:rsidR="00000000" w:rsidRPr="00000000">
        <w:rPr>
          <w:color w:val="1c1c1c"/>
          <w:rtl w:val="0"/>
        </w:rPr>
        <w:t xml:space="preserve">subséquent à son adoption pour ratification.</w:t>
      </w:r>
    </w:p>
    <w:p w:rsidR="00000000" w:rsidDel="00000000" w:rsidP="00000000" w:rsidRDefault="00000000" w:rsidRPr="00000000" w14:paraId="00000043">
      <w:pPr>
        <w:spacing w:after="0" w:line="360" w:lineRule="auto"/>
        <w:ind w:left="2880" w:firstLine="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592"/>
        </w:tabs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tabs>
        <w:tab w:val="center" w:leader="none" w:pos="4320"/>
        <w:tab w:val="right" w:leader="none" w:pos="8640"/>
      </w:tabs>
      <w:spacing w:line="36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-444499</wp:posOffset>
              </wp:positionV>
              <wp:extent cx="8130540" cy="676275"/>
              <wp:effectExtent b="0" l="0" r="0" t="0"/>
              <wp:wrapSquare wrapText="bothSides" distB="0" distT="0" distL="0" distR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295018" y="3456150"/>
                        <a:ext cx="810196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-444499</wp:posOffset>
              </wp:positionV>
              <wp:extent cx="8130540" cy="676275"/>
              <wp:effectExtent b="0" l="0" r="0" t="0"/>
              <wp:wrapSquare wrapText="bothSides" distB="0" distT="0" distL="0" distR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30540" cy="676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12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  <w:ind w:left="357" w:hanging="357"/>
      <w:jc w:val="left"/>
    </w:pPr>
    <w:rPr>
      <w:b w:val="1"/>
      <w:smallCaps w:val="1"/>
      <w:color w:val="44247c"/>
      <w:sz w:val="32"/>
      <w:szCs w:val="32"/>
    </w:rPr>
  </w:style>
  <w:style w:type="paragraph" w:styleId="Heading2">
    <w:name w:val="heading 2"/>
    <w:basedOn w:val="Normal"/>
    <w:next w:val="Normal"/>
    <w:pPr>
      <w:spacing w:before="240" w:line="240" w:lineRule="auto"/>
      <w:ind w:left="1757" w:hanging="1400"/>
    </w:pPr>
    <w:rPr>
      <w:b w:val="1"/>
      <w:i w:val="1"/>
      <w:color w:val="2c8cfb"/>
      <w:sz w:val="24"/>
      <w:szCs w:val="24"/>
    </w:rPr>
  </w:style>
  <w:style w:type="paragraph" w:styleId="Heading3">
    <w:name w:val="heading 3"/>
    <w:basedOn w:val="Normal"/>
    <w:next w:val="Normal"/>
    <w:pPr>
      <w:spacing w:before="360" w:line="240" w:lineRule="auto"/>
      <w:ind w:left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spacing w:line="240" w:lineRule="auto"/>
    </w:pPr>
    <w:rPr>
      <w:b w:val="1"/>
      <w:smallCaps w:val="1"/>
      <w:color w:val="452c78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  <w:ind w:left="357" w:hanging="357"/>
      <w:jc w:val="left"/>
    </w:pPr>
    <w:rPr>
      <w:b w:val="1"/>
      <w:smallCaps w:val="1"/>
      <w:color w:val="44247c"/>
      <w:sz w:val="32"/>
      <w:szCs w:val="32"/>
    </w:rPr>
  </w:style>
  <w:style w:type="paragraph" w:styleId="Heading2">
    <w:name w:val="heading 2"/>
    <w:basedOn w:val="Normal"/>
    <w:next w:val="Normal"/>
    <w:pPr>
      <w:spacing w:before="240" w:line="240" w:lineRule="auto"/>
      <w:ind w:left="1757" w:hanging="1400"/>
    </w:pPr>
    <w:rPr>
      <w:b w:val="1"/>
      <w:i w:val="1"/>
      <w:color w:val="2c8cfb"/>
      <w:sz w:val="24"/>
      <w:szCs w:val="24"/>
    </w:rPr>
  </w:style>
  <w:style w:type="paragraph" w:styleId="Heading3">
    <w:name w:val="heading 3"/>
    <w:basedOn w:val="Normal"/>
    <w:next w:val="Normal"/>
    <w:pPr>
      <w:spacing w:before="360" w:line="240" w:lineRule="auto"/>
      <w:ind w:left="72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spacing w:line="240" w:lineRule="auto"/>
    </w:pPr>
    <w:rPr>
      <w:b w:val="1"/>
      <w:smallCaps w:val="1"/>
      <w:color w:val="452c78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  <w:ind w:left="357" w:hanging="357"/>
      <w:jc w:val="left"/>
    </w:pPr>
    <w:rPr>
      <w:b w:val="1"/>
      <w:smallCaps w:val="1"/>
      <w:color w:val="44247c"/>
      <w:sz w:val="32"/>
      <w:szCs w:val="32"/>
    </w:rPr>
  </w:style>
  <w:style w:type="paragraph" w:styleId="Heading2">
    <w:name w:val="heading 2"/>
    <w:basedOn w:val="Normal"/>
    <w:next w:val="Normal"/>
    <w:pPr>
      <w:spacing w:before="240" w:line="240" w:lineRule="auto"/>
      <w:ind w:left="1757" w:hanging="1400"/>
    </w:pPr>
    <w:rPr>
      <w:b w:val="1"/>
      <w:i w:val="1"/>
      <w:color w:val="2c8cfb"/>
      <w:sz w:val="24"/>
      <w:szCs w:val="24"/>
    </w:rPr>
  </w:style>
  <w:style w:type="paragraph" w:styleId="Heading3">
    <w:name w:val="heading 3"/>
    <w:basedOn w:val="Normal"/>
    <w:next w:val="Normal"/>
    <w:pPr>
      <w:spacing w:before="360" w:line="240" w:lineRule="auto"/>
      <w:ind w:left="72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spacing w:line="240" w:lineRule="auto"/>
    </w:pPr>
    <w:rPr>
      <w:b w:val="1"/>
      <w:smallCaps w:val="1"/>
      <w:color w:val="452c78"/>
      <w:sz w:val="56"/>
      <w:szCs w:val="56"/>
    </w:rPr>
  </w:style>
  <w:style w:type="paragraph" w:styleId="Normal" w:default="1">
    <w:name w:val="Normal"/>
    <w:qFormat w:val="1"/>
    <w:rsid w:val="00C2047E"/>
  </w:style>
  <w:style w:type="paragraph" w:styleId="Titre1">
    <w:name w:val="heading 1"/>
    <w:basedOn w:val="Normal"/>
    <w:next w:val="Normal"/>
    <w:uiPriority w:val="9"/>
    <w:qFormat w:val="1"/>
    <w:rsid w:val="00582F40"/>
    <w:pPr>
      <w:keepNext w:val="1"/>
      <w:keepLines w:val="1"/>
      <w:numPr>
        <w:numId w:val="3"/>
      </w:numPr>
      <w:spacing w:before="480" w:line="240" w:lineRule="auto"/>
      <w:ind w:left="357" w:hanging="357"/>
      <w:jc w:val="left"/>
      <w:outlineLvl w:val="0"/>
    </w:pPr>
    <w:rPr>
      <w:b w:val="1"/>
      <w:smallCaps w:val="1"/>
      <w:color w:val="44247c" w:themeColor="accent1"/>
      <w:sz w:val="32"/>
      <w:szCs w:val="26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rsid w:val="00145469"/>
    <w:pPr>
      <w:numPr>
        <w:numId w:val="1"/>
      </w:numPr>
      <w:spacing w:before="240" w:line="240" w:lineRule="auto"/>
      <w:ind w:left="1757" w:hanging="1400"/>
      <w:outlineLvl w:val="1"/>
    </w:pPr>
    <w:rPr>
      <w:b w:val="1"/>
      <w:i w:val="1"/>
      <w:color w:val="2c8cfb" w:themeColor="accent2"/>
      <w:sz w:val="24"/>
    </w:rPr>
  </w:style>
  <w:style w:type="paragraph" w:styleId="Titre3">
    <w:name w:val="heading 3"/>
    <w:basedOn w:val="Paragraphedeliste"/>
    <w:next w:val="Normal"/>
    <w:uiPriority w:val="9"/>
    <w:semiHidden w:val="1"/>
    <w:unhideWhenUsed w:val="1"/>
    <w:qFormat w:val="1"/>
    <w:rsid w:val="00145469"/>
    <w:pPr>
      <w:numPr>
        <w:numId w:val="2"/>
      </w:numPr>
      <w:spacing w:before="360" w:line="240" w:lineRule="auto"/>
      <w:outlineLvl w:val="2"/>
    </w:pPr>
    <w:rPr>
      <w:b w:val="1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rsid w:val="00764B3F"/>
    <w:pPr>
      <w:spacing w:line="240" w:lineRule="auto"/>
    </w:pPr>
    <w:rPr>
      <w:b w:val="1"/>
      <w:smallCaps w:val="1"/>
      <w:color w:val="452c7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 w:val="1"/>
    <w:pPr>
      <w:spacing w:line="240" w:lineRule="auto"/>
    </w:pPr>
  </w:style>
  <w:style w:type="character" w:styleId="CommentaireCar" w:customStyle="1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 w:val="1"/>
    <w:rsid w:val="003D4D68"/>
    <w:pPr>
      <w:tabs>
        <w:tab w:val="center" w:pos="4320"/>
        <w:tab w:val="right" w:pos="8640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D4D68"/>
  </w:style>
  <w:style w:type="paragraph" w:styleId="Pieddepage">
    <w:name w:val="footer"/>
    <w:basedOn w:val="Normal"/>
    <w:link w:val="PieddepageCar"/>
    <w:uiPriority w:val="99"/>
    <w:unhideWhenUsed w:val="1"/>
    <w:rsid w:val="003D4D68"/>
    <w:pPr>
      <w:tabs>
        <w:tab w:val="center" w:pos="4320"/>
        <w:tab w:val="right" w:pos="8640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D4D68"/>
  </w:style>
  <w:style w:type="paragraph" w:styleId="En-ttedetabledesmatires">
    <w:name w:val="TOC Heading"/>
    <w:basedOn w:val="Titre1"/>
    <w:next w:val="Normal"/>
    <w:uiPriority w:val="39"/>
    <w:unhideWhenUsed w:val="1"/>
    <w:qFormat w:val="1"/>
    <w:rsid w:val="003D4D68"/>
    <w:pPr>
      <w:numPr>
        <w:numId w:val="0"/>
      </w:numPr>
      <w:spacing w:after="0" w:before="240" w:line="259" w:lineRule="auto"/>
      <w:outlineLvl w:val="9"/>
    </w:pPr>
    <w:rPr>
      <w:rFonts w:asciiTheme="majorHAnsi" w:cstheme="majorBidi" w:eastAsiaTheme="majorEastAsia" w:hAnsiTheme="majorHAnsi"/>
      <w:b w:val="0"/>
      <w:smallCaps w:val="0"/>
      <w:color w:val="321b5c" w:themeColor="accent1" w:themeShade="0000BF"/>
      <w:szCs w:val="32"/>
      <w:lang w:val="fr-CA"/>
    </w:rPr>
  </w:style>
  <w:style w:type="paragraph" w:styleId="TM1">
    <w:name w:val="toc 1"/>
    <w:basedOn w:val="Normal"/>
    <w:next w:val="Normal"/>
    <w:autoRedefine w:val="1"/>
    <w:uiPriority w:val="39"/>
    <w:unhideWhenUsed w:val="1"/>
    <w:rsid w:val="003D4D68"/>
    <w:pPr>
      <w:spacing w:after="100"/>
    </w:pPr>
  </w:style>
  <w:style w:type="paragraph" w:styleId="TM2">
    <w:name w:val="toc 2"/>
    <w:basedOn w:val="Normal"/>
    <w:next w:val="Normal"/>
    <w:autoRedefine w:val="1"/>
    <w:uiPriority w:val="39"/>
    <w:unhideWhenUsed w:val="1"/>
    <w:rsid w:val="003D4D68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 w:val="1"/>
    <w:rsid w:val="003D4D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 w:val="1"/>
    <w:rsid w:val="00124DBA"/>
    <w:pPr>
      <w:ind w:left="720"/>
      <w:contextualSpacing w:val="1"/>
    </w:pPr>
  </w:style>
  <w:style w:type="paragraph" w:styleId="TM3">
    <w:name w:val="toc 3"/>
    <w:basedOn w:val="Normal"/>
    <w:next w:val="Normal"/>
    <w:autoRedefine w:val="1"/>
    <w:uiPriority w:val="39"/>
    <w:unhideWhenUsed w:val="1"/>
    <w:rsid w:val="00EF4C2E"/>
    <w:pPr>
      <w:tabs>
        <w:tab w:val="left" w:pos="1540"/>
        <w:tab w:val="right" w:leader="dot" w:pos="9019"/>
      </w:tabs>
      <w:spacing w:after="100"/>
      <w:ind w:left="440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E44233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E44233"/>
    <w:rPr>
      <w:b w:val="1"/>
      <w:bCs w:val="1"/>
      <w:sz w:val="20"/>
      <w:szCs w:val="20"/>
    </w:rPr>
  </w:style>
  <w:style w:type="table" w:styleId="Grilledutableau">
    <w:name w:val="Table Grid"/>
    <w:basedOn w:val="TableauNormal"/>
    <w:uiPriority w:val="39"/>
    <w:rsid w:val="00A94AC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vision">
    <w:name w:val="Revision"/>
    <w:hidden w:val="1"/>
    <w:uiPriority w:val="99"/>
    <w:semiHidden w:val="1"/>
    <w:rsid w:val="00A176A8"/>
    <w:pPr>
      <w:spacing w:line="240" w:lineRule="auto"/>
    </w:pPr>
  </w:style>
  <w:style w:type="character" w:styleId="Mention">
    <w:name w:val="Mention"/>
    <w:basedOn w:val="Policepardfaut"/>
    <w:uiPriority w:val="99"/>
    <w:unhideWhenUsed w:val="1"/>
    <w:rsid w:val="00A964C4"/>
    <w:rPr>
      <w:color w:val="2b579a"/>
      <w:shd w:color="auto" w:fill="e1dfdd" w:val="clear"/>
    </w:rPr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3F795A"/>
    <w:pPr>
      <w:spacing w:after="0" w:line="240" w:lineRule="auto"/>
    </w:p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3F79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 w:val="1"/>
    <w:unhideWhenUsed w:val="1"/>
    <w:rsid w:val="003F795A"/>
    <w:rPr>
      <w:vertAlign w:val="superscript"/>
    </w:rPr>
  </w:style>
  <w:style w:type="table" w:styleId="a1" w:customStyle="1">
    <w:basedOn w:val="TableNormal4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4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6" w:customStyle="1">
    <w:basedOn w:val="TableNormal4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7" w:customStyle="1">
    <w:basedOn w:val="TableNormal4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8" w:customStyle="1">
    <w:basedOn w:val="TableNormal4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9" w:customStyle="1">
    <w:basedOn w:val="TableNormal4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a" w:customStyle="1">
    <w:basedOn w:val="TableNormal4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b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c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d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e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0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1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2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3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4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5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6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7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8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af9" w:customStyle="1">
    <w:basedOn w:val="TableNormal2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EQ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4247C"/>
      </a:accent1>
      <a:accent2>
        <a:srgbClr val="2C8CFB"/>
      </a:accent2>
      <a:accent3>
        <a:srgbClr val="725A9B"/>
      </a:accent3>
      <a:accent4>
        <a:srgbClr val="9DC8FD"/>
      </a:accent4>
      <a:accent5>
        <a:srgbClr val="21113B"/>
      </a:accent5>
      <a:accent6>
        <a:srgbClr val="D4C4EE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7vyhFOy2SjA+fqIW0xMICmKoQ==">CgMxLjA4AHIhMThlY0U4c25fQWVEcFRnTnpYMkVNUG51d091NjNxS0hz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2022-04-11T20:47:00Z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7bced7a6-1650-4487-a06e-63d0ad45838d</vt:lpwstr>
  </property>
</Properties>
</file>